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108.0" w:type="pct"/>
        <w:tblLayout w:type="fixed"/>
        <w:tblLook w:val="0000"/>
      </w:tblPr>
      <w:tblGrid>
        <w:gridCol w:w="648"/>
        <w:gridCol w:w="1367"/>
        <w:gridCol w:w="445"/>
        <w:gridCol w:w="2148"/>
        <w:gridCol w:w="360"/>
        <w:gridCol w:w="5232"/>
        <w:tblGridChange w:id="0">
          <w:tblGrid>
            <w:gridCol w:w="648"/>
            <w:gridCol w:w="1367"/>
            <w:gridCol w:w="445"/>
            <w:gridCol w:w="2148"/>
            <w:gridCol w:w="360"/>
            <w:gridCol w:w="5232"/>
          </w:tblGrid>
        </w:tblGridChange>
      </w:tblGrid>
      <w:tr>
        <w:trPr>
          <w:trHeight w:val="840" w:hRule="atLeast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927100" cy="827405"/>
                  <wp:effectExtent b="0" l="0" r="0" t="0"/>
                  <wp:docPr id="3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82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Администрация Кстовского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муниципального района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Департамент образования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администрации Кстовского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муниципального района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firstLine="0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3314700" cy="1143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50800</wp:posOffset>
                      </wp:positionV>
                      <wp:extent cx="3314700" cy="1143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Руководителям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образовательных организаций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-216" w:firstLine="0"/>
              <w:jc w:val="center"/>
              <w:rPr>
                <w:rFonts w:ascii="Times New Roman" w:cs="Times New Roman" w:eastAsia="Times New Roman" w:hAnsi="Times New Roman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7"/>
                <w:szCs w:val="17"/>
                <w:vertAlign w:val="baseline"/>
                <w:rtl w:val="0"/>
              </w:rPr>
              <w:t xml:space="preserve">пл. Ленина, д. 4,  г. Кстово Нижегородской  области, 607650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7"/>
                <w:szCs w:val="17"/>
                <w:vertAlign w:val="baseline"/>
                <w:rtl w:val="0"/>
              </w:rPr>
              <w:t xml:space="preserve">тел. (83145) 3-92-94, 3-92-92, тел/факс (83145) 3-92-80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            е-mail: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depobraz@kstadm.nnov.ru</w:t>
              </w:r>
            </w:hyperlink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fldChar w:fldCharType="begin"/>
              <w:instrText xml:space="preserve"> HYPERLINK "mailto:depobraz@kstadm.nnov.ru"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28.09.2016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14/01-30-1460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на 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279400</wp:posOffset>
                      </wp:positionV>
                      <wp:extent cx="2857500" cy="114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279400</wp:posOffset>
                      </wp:positionV>
                      <wp:extent cx="2857500" cy="1143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5520"/>
        </w:tabs>
        <w:spacing w:after="0" w:before="0" w:line="240" w:lineRule="auto"/>
        <w:ind w:right="3835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О незаконных сборах денежных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5520"/>
        </w:tabs>
        <w:spacing w:after="0" w:before="0" w:line="240" w:lineRule="auto"/>
        <w:ind w:right="3835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средств в образовательных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  <w:tab w:val="left" w:pos="5520"/>
        </w:tabs>
        <w:spacing w:after="0" w:before="0" w:line="240" w:lineRule="auto"/>
        <w:ind w:right="3835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организациях 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Департамент образования администрации Кстовского муниципального района напоминает Вам о том, что Законодательство Российской Федерации гарантирует гражданам общедоступность и бесплатность общего образования (статья 5 Федерального закона от 29.12. 2012 № 273-ФЭ "Об образовании в Российской Федерации" (далее - Закон об образовании).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Образовательная организация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должна создать необходимые условия для реализации гарантированного права граждан на общедоступное и бесплатное образование в соответствии с ФГОС. Обучающимся, осваивающим основные образовательные программы за счет бюджетных ассигнований в пределах ФГОС, должны бесплатно предоставляться в пользование на время получения образования учебники и учебные пособия, а также учебно-методические материалы,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(статья 35, пункт 26 статьи 2 Закона об образовании).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Вместе с тем, с началом нового учебного года в Министерство образования Нижегородской области (далее - Министерство) стали поступать многочисленные обращения граждан по вопросам неправомерных действий руководящих и педагогических работников, выражающихся во взимании с родителей (законных представителей) обучающихся образовательных организаций денежных средств на: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</w:t>
        <w:tab/>
        <w:t xml:space="preserve">ремонт зданий;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</w:t>
        <w:tab/>
        <w:t xml:space="preserve">оплату содержания службы безопасности;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</w:t>
        <w:tab/>
        <w:t xml:space="preserve">оплату услуг по уборке школьных помещений;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</w:t>
        <w:tab/>
        <w:t xml:space="preserve">материально-техническое обеспечение, оснащение образовательного процесса;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</w:t>
        <w:tab/>
        <w:t xml:space="preserve">другие нужды.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Анализ обращений показывает, что вопросы оказания образовательной организации помощи, как правило, обсуждаются на родительских собраниях и сводятся к привлечению денежных средств родителей обучающихся. Более того, при обсуждении родителям часто называются фиксированные суммы (например, на оплату услуг охранных организаций).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Отмечаем, что установление фиксированных сумм для благотворительной помощи, является нарушением Федерального закона от 11.08.1995 № 135-03 "О благотворительной деятельности и благотворительных организациях" и может рассматриваться в качестве формы принуждения и оказания давления на родителей.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основе пожертвования и благотворительной деятельности лежат принципы добровольности и свободы выбора цели.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Обращаем внимание, что любая инициативная группа граждан, в том числе родительский комитет, попечительский совет и прочие коллегиальные органы 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Совсем недопустимо, когда вопросы сбора денежных средств родителей инициируются представителями наиболее "активной", а часто - и наиболее состоятельной части родительских комитетов по предварительному собеседованию с педагогами или администрацией организации.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этом зачастую нарушаются права родителей, не способных, в силу определённых обстоятельств, или не желающих принимать участие в финансировании за счёт собственных средств тех или иных мероприятий. Кроме того, решения о сборе денежных средств принимаются на родительских собраниях при отсутствии части родителей.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подобных ситуациях руководители организаций должны опосредованно направлять действия родителей обучающихся в правовую зону и не допускать ситуаций, порождающих конфликты в родительской среде. 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Министерство считает, что руководители, возглавляющие образовательные организации и допускающие перечисленные выше случаи, демонстрируют неудовлетворительный уровень правовой компетентности и полное непонимание возложенной на руководителя персональной ответственности.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 целях недопущения незаконных сборов денежных средств в образовательных организациях Вам необходимо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</w:t>
        <w:tab/>
        <w:t xml:space="preserve">Организовать разъяснительную работу с педагогическими работниками возглавляемых образовательных организаций и довести до их сведения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содержание настоящего письма под роспись.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</w:t>
        <w:tab/>
        <w:t xml:space="preserve">Организовать ознакомление с письмом родителей (законных представителей) обучающихся муниципальных дошкольных и общеобразовательных организаций на родительских собраниях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под роспись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</w:t>
        <w:tab/>
        <w:t xml:space="preserve">Обеспечить информирование общественности о расходовании бюджетных и внебюджетных средств через выступления руководителей образовательных организаций на общешкольных родительских собраниях и размещение информации на сайтах образовательных организаций не реже одного раза в календарный или учебный год.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</w:t>
        <w:tab/>
        <w:t xml:space="preserve">Обеспечить размещение настоящего письма на официальных сайтах в сети "Интернет".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Обращаем Ваше внимание, что все обращения по вопросам принудительного привлечения денежных средств образовательными организациями будут в обязательном порядке перенаправляться в ГУ МВД России по Нижегородской области для принятия соответствующих мер.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И.о.директора </w:t>
        <w:tab/>
        <w:tab/>
        <w:tab/>
        <w:tab/>
        <w:tab/>
        <w:tab/>
        <w:tab/>
        <w:tab/>
        <w:t xml:space="preserve">                       А.Н.Долгих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Майорова Ольга Анатольевна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8831-45-3-91-94</w:t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/>
      <w:pgMar w:bottom="993" w:top="709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hyperlink" Target="mailto:depobraz@kstadm.nnov.ru" TargetMode="Externa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