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7" w:rsidRDefault="002272A4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34"/>
        </w:rPr>
        <w:t>Министерство</w:t>
      </w:r>
    </w:p>
    <w:tbl>
      <w:tblPr>
        <w:tblStyle w:val="TableGrid"/>
        <w:tblW w:w="8842" w:type="dxa"/>
        <w:tblInd w:w="-6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3427"/>
      </w:tblGrid>
      <w:tr w:rsidR="00AB3C07">
        <w:trPr>
          <w:trHeight w:val="374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C07" w:rsidRDefault="002272A4">
            <w:pPr>
              <w:spacing w:after="0" w:line="259" w:lineRule="auto"/>
              <w:ind w:left="835" w:right="0" w:firstLine="0"/>
              <w:jc w:val="left"/>
            </w:pPr>
            <w:r>
              <w:rPr>
                <w:sz w:val="34"/>
              </w:rPr>
              <w:t>образования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B3C07" w:rsidRDefault="002272A4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30"/>
              </w:rPr>
              <w:t>Главам администраций</w:t>
            </w:r>
          </w:p>
        </w:tc>
      </w:tr>
      <w:tr w:rsidR="00AB3C07">
        <w:trPr>
          <w:trHeight w:val="556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AB3C07" w:rsidRDefault="002272A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4"/>
              </w:rPr>
              <w:t>Нижегородской области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B3C07" w:rsidRDefault="002272A4">
            <w:pPr>
              <w:spacing w:after="0" w:line="259" w:lineRule="auto"/>
              <w:ind w:left="538" w:right="0" w:hanging="538"/>
            </w:pPr>
            <w:r>
              <w:rPr>
                <w:sz w:val="30"/>
              </w:rPr>
              <w:t>муниципальных районов и городских округов</w:t>
            </w:r>
          </w:p>
        </w:tc>
      </w:tr>
      <w:tr w:rsidR="00AB3C07">
        <w:trPr>
          <w:trHeight w:val="818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AB3C07" w:rsidRDefault="002272A4">
            <w:pPr>
              <w:spacing w:after="0" w:line="259" w:lineRule="auto"/>
              <w:ind w:left="470" w:right="2026" w:hanging="355"/>
              <w:jc w:val="left"/>
            </w:pPr>
            <w:r>
              <w:rPr>
                <w:sz w:val="18"/>
              </w:rPr>
              <w:t>ул. Ильинская, д. 18, г. Нижний Новгород, гсп-58, 603950 тел. 433-24-51, факс 434-11-90 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 omcial@obr.kreml.nnov.ru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AB3C07" w:rsidRDefault="002272A4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30"/>
              </w:rPr>
              <w:t>Нижегородской области</w:t>
            </w:r>
          </w:p>
        </w:tc>
      </w:tr>
    </w:tbl>
    <w:p w:rsidR="00AB3C07" w:rsidRDefault="00AB3C07">
      <w:pPr>
        <w:sectPr w:rsidR="00AB3C07">
          <w:pgSz w:w="11904" w:h="16829"/>
          <w:pgMar w:top="1364" w:right="7248" w:bottom="699" w:left="2554" w:header="720" w:footer="720" w:gutter="0"/>
          <w:cols w:space="720"/>
        </w:sectPr>
      </w:pPr>
    </w:p>
    <w:p w:rsidR="00AB3C07" w:rsidRDefault="002272A4">
      <w:pPr>
        <w:pStyle w:val="1"/>
        <w:ind w:left="682" w:hanging="365"/>
      </w:pPr>
      <w:r>
        <w:lastRenderedPageBreak/>
        <w:t>СЕН 2016</w:t>
      </w:r>
      <w:r>
        <w:tab/>
        <w:t>316-01-99-033/7600</w:t>
      </w:r>
    </w:p>
    <w:p w:rsidR="00AB3C07" w:rsidRDefault="002272A4">
      <w:pPr>
        <w:tabs>
          <w:tab w:val="center" w:pos="2501"/>
        </w:tabs>
        <w:spacing w:after="0" w:line="259" w:lineRule="auto"/>
        <w:ind w:left="0" w:right="0" w:firstLine="0"/>
        <w:jc w:val="left"/>
      </w:pPr>
      <w:r>
        <w:rPr>
          <w:sz w:val="20"/>
        </w:rPr>
        <w:t>на №</w:t>
      </w:r>
      <w:r>
        <w:rPr>
          <w:sz w:val="20"/>
        </w:rPr>
        <w:tab/>
        <w:t>от</w:t>
      </w:r>
    </w:p>
    <w:p w:rsidR="00AB3C07" w:rsidRDefault="002272A4">
      <w:pPr>
        <w:spacing w:after="354" w:line="259" w:lineRule="auto"/>
        <w:ind w:left="490" w:right="0" w:firstLine="0"/>
        <w:jc w:val="left"/>
      </w:pPr>
      <w:r>
        <w:rPr>
          <w:noProof/>
        </w:rPr>
        <w:drawing>
          <wp:inline distT="0" distB="0" distL="0" distR="0">
            <wp:extent cx="2377440" cy="24398"/>
            <wp:effectExtent l="0" t="0" r="0" b="0"/>
            <wp:docPr id="10123" name="Picture 1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" name="Picture 10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07" w:rsidRDefault="002272A4">
      <w:pPr>
        <w:spacing w:after="278" w:line="269" w:lineRule="auto"/>
        <w:ind w:left="62" w:right="5808" w:hanging="10"/>
      </w:pPr>
      <w:r>
        <w:t>О незаконных сборах денежных средств в образовательных организациях</w:t>
      </w:r>
    </w:p>
    <w:p w:rsidR="00AB3C07" w:rsidRDefault="002272A4">
      <w:pPr>
        <w:spacing w:after="2" w:line="269" w:lineRule="auto"/>
        <w:ind w:left="52" w:right="0" w:firstLine="845"/>
      </w:pPr>
      <w:r>
        <w:t>Законодательство Российской Федерации гарантирует гражданам общедоступность и бесплатность общего образования (статья 5 Федерального закона от 29.12, 2012 № 273-ФЗ ”06 образовании в Российской Федерации“ (далее — Закон об образовании)).</w:t>
      </w:r>
    </w:p>
    <w:p w:rsidR="00AB3C07" w:rsidRDefault="002272A4">
      <w:pPr>
        <w:spacing w:after="2" w:line="269" w:lineRule="auto"/>
        <w:ind w:left="52" w:right="0" w:firstLine="710"/>
      </w:pPr>
      <w:r>
        <w:t>Органы местного сам</w:t>
      </w:r>
      <w:r>
        <w:t>оуправления, которым предоставляется субвенция субъектом РФ (пункт З части статьи 8, статья 9 Закона об образовании), обязаны обеспечить:</w:t>
      </w:r>
    </w:p>
    <w:p w:rsidR="00AB3C07" w:rsidRDefault="002272A4">
      <w:pPr>
        <w:spacing w:after="0" w:line="287" w:lineRule="auto"/>
        <w:ind w:left="58" w:right="0" w:firstLine="701"/>
        <w:jc w:val="left"/>
      </w:pPr>
      <w:r>
        <w:rPr>
          <w:noProof/>
        </w:rPr>
        <w:drawing>
          <wp:inline distT="0" distB="0" distL="0" distR="0">
            <wp:extent cx="54864" cy="30497"/>
            <wp:effectExtent l="0" t="0" r="0" b="0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организацию предоставления общедоступного и бесплатного дошкольного, начального общего, основного общего, среднего о</w:t>
      </w:r>
      <w:r>
        <w:t>бщего образования в муниципальных образовательных организациях;</w:t>
      </w:r>
    </w:p>
    <w:p w:rsidR="00AB3C07" w:rsidRDefault="002272A4">
      <w:pPr>
        <w:numPr>
          <w:ilvl w:val="0"/>
          <w:numId w:val="1"/>
        </w:numPr>
        <w:spacing w:after="32" w:line="269" w:lineRule="auto"/>
        <w:ind w:right="52" w:firstLine="7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938784</wp:posOffset>
            </wp:positionH>
            <wp:positionV relativeFrom="page">
              <wp:posOffset>3104635</wp:posOffset>
            </wp:positionV>
            <wp:extent cx="6096" cy="18298"/>
            <wp:effectExtent l="0" t="0" r="0" b="0"/>
            <wp:wrapSquare wrapText="bothSides"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 зданий и сооружений муниципальных образовательных организаций;</w:t>
      </w:r>
    </w:p>
    <w:p w:rsidR="00AB3C07" w:rsidRDefault="002272A4">
      <w:pPr>
        <w:numPr>
          <w:ilvl w:val="0"/>
          <w:numId w:val="1"/>
        </w:numPr>
        <w:spacing w:after="2" w:line="269" w:lineRule="auto"/>
        <w:ind w:right="52" w:firstLine="777"/>
      </w:pPr>
      <w:r>
        <w:t>обустройство прилегающих к ним территорий.</w:t>
      </w:r>
    </w:p>
    <w:p w:rsidR="00AB3C07" w:rsidRDefault="002272A4">
      <w:pPr>
        <w:spacing w:after="38" w:line="269" w:lineRule="auto"/>
        <w:ind w:left="52" w:right="0" w:firstLine="710"/>
      </w:pPr>
      <w:r>
        <w:t>Образовательная организация должна создать необходимые условия для реализации гарантированного права граждан на общедоступное и бесплатное образование в соответствии с ФГОС. Обучающимся, осваивающим основные образовательные программы за счет бюджетных асси</w:t>
      </w:r>
      <w:r>
        <w:t>гнований в пределах ФГОС, должны бесплатно предоставляться в пользование на время получения образования учебники и учебные пособия, а также учебно-методические материалы, приборы, оборудование, включая спортивное оборудование и инвентарь, инструменты (в то</w:t>
      </w:r>
      <w:r>
        <w:t xml:space="preserve">м числе музыкальные), учебно-наглядные пособия, компьютеры, информационно-телекоммуникационные сети, </w:t>
      </w:r>
      <w:proofErr w:type="spellStart"/>
      <w:r>
        <w:t>аппаратнопрограммные</w:t>
      </w:r>
      <w:proofErr w:type="spellEnd"/>
      <w:r>
        <w:t xml:space="preserve"> и аудиовизуальные средства, печатные и электронные образовательные и информационные ресурсы и иные материальные объекты, </w:t>
      </w:r>
      <w:r>
        <w:lastRenderedPageBreak/>
        <w:t>необходимые д</w:t>
      </w:r>
      <w:r>
        <w:t>ля организации образовательной деятельности (статья 35, пункт 26 статьи 2 Закона об образовании).</w:t>
      </w:r>
    </w:p>
    <w:p w:rsidR="00AB3C07" w:rsidRDefault="002272A4">
      <w:pPr>
        <w:spacing w:after="382" w:line="269" w:lineRule="auto"/>
        <w:ind w:left="52" w:right="0" w:firstLine="845"/>
      </w:pPr>
      <w:r>
        <w:t xml:space="preserve">Вместе с тем, с началом нового учебного года в Министерство образования Нижегородской области (далее - Министерство) стали поступать </w:t>
      </w:r>
      <w:r>
        <w:t>2</w:t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07" w:rsidRDefault="002272A4">
      <w:pPr>
        <w:ind w:left="43" w:right="52" w:firstLine="10"/>
      </w:pPr>
      <w:r>
        <w:t>многочисленные обращен</w:t>
      </w:r>
      <w:r>
        <w:t>ия граждан по вопросам неправомерных действий руководящих и педагогических работников, выражающихся во взимании с родителей (законных представителей) обучающихся образовательных организаций денежных средств на:</w:t>
      </w:r>
    </w:p>
    <w:p w:rsidR="00AB3C07" w:rsidRDefault="002272A4">
      <w:pPr>
        <w:numPr>
          <w:ilvl w:val="0"/>
          <w:numId w:val="1"/>
        </w:numPr>
        <w:ind w:right="52" w:firstLine="777"/>
      </w:pPr>
      <w:r>
        <w:t>ремонт зданий;</w:t>
      </w:r>
    </w:p>
    <w:p w:rsidR="00AB3C07" w:rsidRDefault="002272A4">
      <w:pPr>
        <w:numPr>
          <w:ilvl w:val="0"/>
          <w:numId w:val="1"/>
        </w:numPr>
        <w:ind w:right="52" w:firstLine="777"/>
      </w:pPr>
      <w:r>
        <w:t>оплату содержания службы безоп</w:t>
      </w:r>
      <w:r>
        <w:t>асности;</w:t>
      </w:r>
    </w:p>
    <w:p w:rsidR="00AB3C07" w:rsidRDefault="002272A4">
      <w:pPr>
        <w:numPr>
          <w:ilvl w:val="0"/>
          <w:numId w:val="1"/>
        </w:numPr>
        <w:ind w:right="52" w:firstLine="777"/>
      </w:pPr>
      <w:r>
        <w:t xml:space="preserve">оплату услуг по уборке школьных помещений; </w:t>
      </w:r>
      <w:r>
        <w:rPr>
          <w:noProof/>
        </w:rPr>
        <w:drawing>
          <wp:inline distT="0" distB="0" distL="0" distR="0">
            <wp:extent cx="48768" cy="24398"/>
            <wp:effectExtent l="0" t="0" r="0" b="0"/>
            <wp:docPr id="3882" name="Picture 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" name="Picture 3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материально-техническое обеспечение, оснащение образовательного процесса;</w:t>
      </w:r>
    </w:p>
    <w:p w:rsidR="00AB3C07" w:rsidRDefault="002272A4">
      <w:pPr>
        <w:numPr>
          <w:ilvl w:val="0"/>
          <w:numId w:val="1"/>
        </w:numPr>
        <w:ind w:right="52" w:firstLine="777"/>
      </w:pPr>
      <w:r>
        <w:t>другие нужды.</w:t>
      </w:r>
    </w:p>
    <w:p w:rsidR="00AB3C07" w:rsidRDefault="002272A4">
      <w:pPr>
        <w:ind w:left="43" w:right="52"/>
      </w:pPr>
      <w:r>
        <w:t xml:space="preserve">Анализ обращений показывает, что вопросы оказания образовательной организации помощи, как правило, обсуждаются на </w:t>
      </w:r>
      <w:r>
        <w:t>родительских собраниях и сводятся к привлечению денежных средств родителей обучающихся. Более того, при обсуждении родителям часто называются фиксированные суммы (например, на оплату услуг охранных организаций).</w:t>
      </w:r>
    </w:p>
    <w:p w:rsidR="00AB3C07" w:rsidRDefault="002272A4">
      <w:pPr>
        <w:ind w:left="43" w:right="52"/>
      </w:pPr>
      <w:r>
        <w:t>Отмечаем, что установление фиксированных сум</w:t>
      </w:r>
      <w:r>
        <w:t>м для благотворительной помощи, является нарушением Федерального закона от 1 108.1995 № 135-</w:t>
      </w:r>
      <w:proofErr w:type="gramStart"/>
      <w:r>
        <w:t>ФЗ ”О</w:t>
      </w:r>
      <w:proofErr w:type="gramEnd"/>
      <w:r>
        <w:t xml:space="preserve"> благотворительной деятельности и благотворительных организациях“ и может рассматриваться в качестве формы принуждения и оказания давления на родителей.</w:t>
      </w:r>
    </w:p>
    <w:p w:rsidR="00AB3C07" w:rsidRDefault="002272A4">
      <w:pPr>
        <w:spacing w:after="3" w:line="276" w:lineRule="auto"/>
        <w:ind w:left="81" w:right="23" w:firstLine="835"/>
      </w:pPr>
      <w:r>
        <w:rPr>
          <w:sz w:val="30"/>
        </w:rPr>
        <w:t>В осно</w:t>
      </w:r>
      <w:r>
        <w:rPr>
          <w:sz w:val="30"/>
        </w:rPr>
        <w:t>ве пожертвования и благотворительной деятельности лежат принципы добровольности и свободы выбора цели.</w:t>
      </w:r>
    </w:p>
    <w:p w:rsidR="00AB3C07" w:rsidRDefault="002272A4">
      <w:pPr>
        <w:ind w:left="43" w:right="52"/>
      </w:pPr>
      <w:r>
        <w:t>Обращаем внимание, что любая инициативная группа граждан, в том числе родительский комитет, попечительский совет и прочие коллегиальные органы управления</w:t>
      </w:r>
      <w:r>
        <w:t xml:space="preserve">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AB3C07" w:rsidRDefault="002272A4">
      <w:pPr>
        <w:ind w:left="43" w:right="52" w:firstLine="710"/>
      </w:pPr>
      <w:r>
        <w:t>Совсем недопустимо, когда вопросы сбо</w:t>
      </w:r>
      <w:r>
        <w:t xml:space="preserve">ра денежных средств родителей инициируются представителями </w:t>
      </w:r>
      <w:proofErr w:type="gramStart"/>
      <w:r>
        <w:t>наиболее ”активной</w:t>
      </w:r>
      <w:proofErr w:type="gramEnd"/>
      <w:r>
        <w:t>”, а часто и наиболее состоятельной части родительских комитетов по предварительному собеседованию с педагогами или администрацией организации.</w:t>
      </w:r>
    </w:p>
    <w:p w:rsidR="00AB3C07" w:rsidRDefault="002272A4">
      <w:pPr>
        <w:ind w:left="43" w:right="52" w:firstLine="691"/>
      </w:pPr>
      <w:r>
        <w:t xml:space="preserve">При этом зачастую нарушаются права </w:t>
      </w:r>
      <w:r>
        <w:t xml:space="preserve">родителей, не способных, в силу определённых обстоятельств, или не желающих принимать участие в финансировании за счёт собственных средств тех или иных мероприятий. Кроме </w:t>
      </w:r>
      <w:r>
        <w:lastRenderedPageBreak/>
        <w:t>того, решения о сборе денежных средств принимаются на родительских собраниях при отсу</w:t>
      </w:r>
      <w:r>
        <w:t>тствии части родителей.</w:t>
      </w:r>
    </w:p>
    <w:p w:rsidR="00AB3C07" w:rsidRDefault="002272A4">
      <w:pPr>
        <w:ind w:left="106" w:right="52" w:firstLine="701"/>
      </w:pPr>
      <w:r>
        <w:t xml:space="preserve">В подобных ситуациях руководители организаций должны опосредованно направлять действия </w:t>
      </w:r>
      <w:proofErr w:type="gramStart"/>
      <w:r>
        <w:t>родителей</w:t>
      </w:r>
      <w:proofErr w:type="gramEnd"/>
      <w:r>
        <w:t xml:space="preserve"> обучающихся в правовую зону и не допускать ситуаций, порождающих конфликты в родительской среде.</w:t>
      </w:r>
    </w:p>
    <w:p w:rsidR="00AB3C07" w:rsidRDefault="002272A4">
      <w:pPr>
        <w:spacing w:after="368" w:line="259" w:lineRule="auto"/>
        <w:ind w:left="0" w:right="58" w:firstLine="0"/>
        <w:jc w:val="center"/>
      </w:pPr>
      <w:r>
        <w:rPr>
          <w:sz w:val="32"/>
        </w:rPr>
        <w:t>з</w:t>
      </w:r>
    </w:p>
    <w:p w:rsidR="00AB3C07" w:rsidRDefault="002272A4">
      <w:pPr>
        <w:ind w:left="43" w:right="52"/>
      </w:pPr>
      <w:r>
        <w:t>Министерство считает, что руководители, возглавляющие образовательные организации и допускающие перечисленные выше случаи, демонстрируют неудовлетворительный уровень правовой компетентности и полное непонимание возложенной на руководителя персональной отве</w:t>
      </w:r>
      <w:r>
        <w:t>тственности.</w:t>
      </w:r>
    </w:p>
    <w:p w:rsidR="00AB3C07" w:rsidRDefault="002272A4">
      <w:pPr>
        <w:ind w:left="43" w:right="52"/>
      </w:pPr>
      <w:r>
        <w:t>В целях недопущения незаконных сборов денежных средств в образовательных организациях Министерство рекомендует:</w:t>
      </w:r>
    </w:p>
    <w:p w:rsidR="00AB3C07" w:rsidRDefault="002272A4">
      <w:pPr>
        <w:spacing w:after="28" w:line="259" w:lineRule="auto"/>
        <w:ind w:left="897" w:right="0" w:hanging="10"/>
        <w:jc w:val="left"/>
      </w:pPr>
      <w:r>
        <w:rPr>
          <w:u w:val="single" w:color="000000"/>
        </w:rPr>
        <w:t>Руководителям органов управления образования:</w:t>
      </w:r>
    </w:p>
    <w:p w:rsidR="00AB3C07" w:rsidRDefault="002272A4">
      <w:pPr>
        <w:numPr>
          <w:ilvl w:val="0"/>
          <w:numId w:val="2"/>
        </w:numPr>
        <w:spacing w:line="267" w:lineRule="auto"/>
        <w:ind w:right="52"/>
      </w:pPr>
      <w:r>
        <w:t>Провести</w:t>
      </w:r>
      <w:r>
        <w:tab/>
        <w:t>соответствующую разъяснительную работу с руководителями подведомственных обр</w:t>
      </w:r>
      <w:r>
        <w:t>азовательных организаций и довести до их сведения содержание настоящего письма под роспись.</w:t>
      </w:r>
    </w:p>
    <w:p w:rsidR="00AB3C07" w:rsidRDefault="002272A4">
      <w:pPr>
        <w:numPr>
          <w:ilvl w:val="0"/>
          <w:numId w:val="2"/>
        </w:numPr>
        <w:ind w:right="52"/>
      </w:pPr>
      <w:r>
        <w:t xml:space="preserve">Обеспечить размещение настоящего письма на официальных сайтах подведомственных образовательных организаций в </w:t>
      </w:r>
      <w:proofErr w:type="gramStart"/>
      <w:r>
        <w:t>сети ”Интернет</w:t>
      </w:r>
      <w:proofErr w:type="gramEnd"/>
      <w:r>
        <w:t>”, на сайтах муниципальных органов управл</w:t>
      </w:r>
      <w:r>
        <w:t xml:space="preserve">ения образования. </w:t>
      </w:r>
      <w:r>
        <w:rPr>
          <w:noProof/>
        </w:rPr>
        <w:drawing>
          <wp:inline distT="0" distB="0" distL="0" distR="0">
            <wp:extent cx="6096" cy="12199"/>
            <wp:effectExtent l="0" t="0" r="0" b="0"/>
            <wp:docPr id="5492" name="Picture 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" name="Picture 54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07" w:rsidRDefault="002272A4">
      <w:pPr>
        <w:numPr>
          <w:ilvl w:val="0"/>
          <w:numId w:val="2"/>
        </w:numPr>
        <w:ind w:right="52"/>
      </w:pPr>
      <w:r>
        <w:t xml:space="preserve">Осуществить мониторинг работы </w:t>
      </w:r>
      <w:proofErr w:type="gramStart"/>
      <w:r>
        <w:t>муниципальной ”горячей</w:t>
      </w:r>
      <w:proofErr w:type="gramEnd"/>
      <w:r>
        <w:t xml:space="preserve"> линии“ по вопросам сборов денежных средств в образовательных организациях.</w:t>
      </w:r>
    </w:p>
    <w:p w:rsidR="00AB3C07" w:rsidRDefault="002272A4">
      <w:pPr>
        <w:spacing w:after="28" w:line="259" w:lineRule="auto"/>
        <w:ind w:left="897" w:right="0" w:hanging="10"/>
        <w:jc w:val="left"/>
      </w:pPr>
      <w:r>
        <w:rPr>
          <w:u w:val="single" w:color="000000"/>
        </w:rPr>
        <w:t>Руководителям образовательных организаций:</w:t>
      </w:r>
    </w:p>
    <w:p w:rsidR="00AB3C07" w:rsidRDefault="002272A4">
      <w:pPr>
        <w:numPr>
          <w:ilvl w:val="0"/>
          <w:numId w:val="3"/>
        </w:numPr>
        <w:ind w:right="26" w:firstLine="835"/>
        <w:jc w:val="left"/>
      </w:pPr>
      <w:r>
        <w:t>Организовать разъяснительную работу с педагогическими работниками</w:t>
      </w:r>
      <w:r>
        <w:t xml:space="preserve"> возглавляемых образовательных организаций.</w:t>
      </w:r>
    </w:p>
    <w:p w:rsidR="00AB3C07" w:rsidRDefault="002272A4">
      <w:pPr>
        <w:numPr>
          <w:ilvl w:val="0"/>
          <w:numId w:val="3"/>
        </w:numPr>
        <w:spacing w:after="37" w:line="267" w:lineRule="auto"/>
        <w:ind w:right="26" w:firstLine="835"/>
        <w:jc w:val="left"/>
      </w:pPr>
      <w:r>
        <w:t xml:space="preserve">Организовать ознакомление с письмом родителей (законных представителей) </w:t>
      </w:r>
      <w:r>
        <w:tab/>
        <w:t xml:space="preserve">обучающихся </w:t>
      </w:r>
      <w:r>
        <w:tab/>
        <w:t>муниципальных</w:t>
      </w:r>
      <w:r>
        <w:tab/>
        <w:t>дошкольных</w:t>
      </w:r>
      <w:r>
        <w:tab/>
        <w:t>и общеобразовательных организаций на родительских собраниях.</w:t>
      </w:r>
    </w:p>
    <w:p w:rsidR="00AB3C07" w:rsidRDefault="002272A4">
      <w:pPr>
        <w:ind w:left="43" w:right="52"/>
      </w:pPr>
      <w:r>
        <w:t>З. Обеспечить информирование общественно</w:t>
      </w:r>
      <w:r>
        <w:t>сти о расходовании бюджетных и внебюджетных средств через выступления руководителей образовательных организаций на общешкольных родительских собраниях и размещение информации на сайтах образовательных организаций не реже одного раза в календарный или учебн</w:t>
      </w:r>
      <w:r>
        <w:t>ый год.</w:t>
      </w:r>
    </w:p>
    <w:p w:rsidR="00AB3C07" w:rsidRDefault="002272A4">
      <w:pPr>
        <w:spacing w:after="151" w:line="276" w:lineRule="auto"/>
        <w:ind w:left="81" w:right="23" w:firstLine="730"/>
      </w:pPr>
      <w:r>
        <w:rPr>
          <w:sz w:val="30"/>
        </w:rPr>
        <w:t>Министерство образования Нижегородской области информирует о том, что все обращения по вопросам принудительного привлечения денежных средств образовательными организациями будут в обязательном порядке перенаправляться в ГУ МВД России по Нижегородской облас</w:t>
      </w:r>
      <w:r>
        <w:rPr>
          <w:sz w:val="30"/>
        </w:rPr>
        <w:t>ти для принятия соответствующих мер.</w:t>
      </w:r>
    </w:p>
    <w:p w:rsidR="00AB3C07" w:rsidRDefault="002272A4">
      <w:pPr>
        <w:tabs>
          <w:tab w:val="center" w:pos="7766"/>
        </w:tabs>
        <w:spacing w:after="1270" w:line="276" w:lineRule="auto"/>
        <w:ind w:left="0" w:right="0" w:firstLine="0"/>
        <w:jc w:val="left"/>
      </w:pPr>
      <w:proofErr w:type="spellStart"/>
      <w:r>
        <w:rPr>
          <w:sz w:val="30"/>
        </w:rPr>
        <w:lastRenderedPageBreak/>
        <w:t>И.о</w:t>
      </w:r>
      <w:proofErr w:type="spellEnd"/>
      <w:r>
        <w:rPr>
          <w:sz w:val="30"/>
        </w:rPr>
        <w:t>. министра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890016" cy="731937"/>
            <wp:effectExtent l="0" t="0" r="0" b="0"/>
            <wp:docPr id="5509" name="Picture 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" name="Picture 55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73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Е.Л. Родионова</w:t>
      </w:r>
    </w:p>
    <w:p w:rsidR="00AB3C07" w:rsidRDefault="002272A4">
      <w:pPr>
        <w:spacing w:after="43" w:line="259" w:lineRule="auto"/>
        <w:ind w:left="106" w:right="0" w:firstLine="0"/>
        <w:jc w:val="left"/>
      </w:pPr>
      <w:r>
        <w:rPr>
          <w:sz w:val="20"/>
        </w:rPr>
        <w:t>Шмелев В.Н.,</w:t>
      </w:r>
    </w:p>
    <w:p w:rsidR="00AB3C07" w:rsidRDefault="002272A4">
      <w:pPr>
        <w:spacing w:after="0" w:line="259" w:lineRule="auto"/>
        <w:ind w:left="106" w:right="0" w:firstLine="0"/>
        <w:jc w:val="left"/>
      </w:pPr>
      <w:r>
        <w:rPr>
          <w:sz w:val="22"/>
        </w:rPr>
        <w:t>(831)433 29 65</w:t>
      </w:r>
    </w:p>
    <w:sectPr w:rsidR="00AB3C07">
      <w:type w:val="continuous"/>
      <w:pgSz w:w="11904" w:h="16829"/>
      <w:pgMar w:top="480" w:right="490" w:bottom="699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61F"/>
    <w:multiLevelType w:val="hybridMultilevel"/>
    <w:tmpl w:val="9D38122E"/>
    <w:lvl w:ilvl="0" w:tplc="AFE2FC0E">
      <w:start w:val="2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58D0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FC5D5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040A0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C29F4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C064A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62948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6BB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4A0E8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97A65"/>
    <w:multiLevelType w:val="hybridMultilevel"/>
    <w:tmpl w:val="9C70126A"/>
    <w:lvl w:ilvl="0" w:tplc="EC7A8EC0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9C2FD6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B0BEEE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4C234C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8EDB40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CA765C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14A8F0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4A1B60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4F45C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8630B"/>
    <w:multiLevelType w:val="hybridMultilevel"/>
    <w:tmpl w:val="F5844AFA"/>
    <w:lvl w:ilvl="0" w:tplc="B3E4A5F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8A00E">
      <w:start w:val="1"/>
      <w:numFmt w:val="lowerLetter"/>
      <w:lvlText w:val="%2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65A48">
      <w:start w:val="1"/>
      <w:numFmt w:val="lowerRoman"/>
      <w:lvlText w:val="%3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8B56C">
      <w:start w:val="1"/>
      <w:numFmt w:val="decimal"/>
      <w:lvlText w:val="%4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6F9AC">
      <w:start w:val="1"/>
      <w:numFmt w:val="lowerLetter"/>
      <w:lvlText w:val="%5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23722">
      <w:start w:val="1"/>
      <w:numFmt w:val="lowerRoman"/>
      <w:lvlText w:val="%6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61B74">
      <w:start w:val="1"/>
      <w:numFmt w:val="decimal"/>
      <w:lvlText w:val="%7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C57BE">
      <w:start w:val="1"/>
      <w:numFmt w:val="lowerLetter"/>
      <w:lvlText w:val="%8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2C22C">
      <w:start w:val="1"/>
      <w:numFmt w:val="lowerRoman"/>
      <w:lvlText w:val="%9"/>
      <w:lvlJc w:val="left"/>
      <w:pPr>
        <w:ind w:left="6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60FAE"/>
    <w:multiLevelType w:val="hybridMultilevel"/>
    <w:tmpl w:val="4D2C24D4"/>
    <w:lvl w:ilvl="0" w:tplc="202EFECA">
      <w:start w:val="1"/>
      <w:numFmt w:val="bullet"/>
      <w:lvlText w:val="-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50AD7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8E773C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BE44F6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007B6E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7247F2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326ECC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56D7B4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2C974C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7"/>
    <w:rsid w:val="002272A4"/>
    <w:rsid w:val="00A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CA49-9787-4FD9-963B-60C3A30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8" w:lineRule="auto"/>
      <w:ind w:left="29" w:right="77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14"/>
      <w:ind w:left="317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2019-11-26T04:39:00Z</dcterms:created>
  <dcterms:modified xsi:type="dcterms:W3CDTF">2019-11-26T04:39:00Z</dcterms:modified>
</cp:coreProperties>
</file>